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b/>
          <w:bCs/>
        </w:rPr>
        <w:t xml:space="preserve">ПРОЕКТ</w:t>
      </w:r>
    </w:p>
    <w:p>
      <w:pPr>
        <w:spacing w:after="360"/>
        <w:jc w:val="right"/>
      </w:pPr>
      <w:r>
        <w:rPr>
          <w:i/>
          <w:iCs/>
        </w:rPr>
        <w:t xml:space="preserve">Редакция от 02.10.2026</w:t>
      </w:r>
    </w:p>
    <w:p>
      <w:pPr>
        <w:spacing w:after="120"/>
        <w:jc w:val="center"/>
      </w:pPr>
      <w:r>
        <w:rPr>
          <w:b/>
          <w:bCs/>
          <w:sz w:val="28"/>
          <w:szCs w:val="28"/>
        </w:rPr>
        <w:t xml:space="preserve">ТЕХНИЧЕСКОЕ ЗАДАНИЕ</w:t>
      </w:r>
    </w:p>
    <w:p>
      <w:pPr>
        <w:spacing w:after="360"/>
        <w:jc w:val="center"/>
      </w:pPr>
      <w:r>
        <w:rPr>
          <w:b/>
          <w:bCs/>
        </w:rPr>
        <w:t xml:space="preserve">на выполнение работ по разработке веб-сайта ФГБОУ ВО «Чеченский государственный педагогический университет»: дизайн и программная реализация шаблонов страниц и функциональных модулей</w:t>
      </w:r>
    </w:p>
    <w:p>
      <w:pPr>
        <w:spacing w:after="100"/>
        <w:jc w:val="both"/>
      </w:pPr>
      <w:r>
        <w:t xml:space="preserve">Фрагменты, выделенные жёлтым, заполняются или подтверждаются Заказчиком при подготовке документации о закупке. Все сроки в настоящем ТЗ исчисляются в календарных днях.</w:t>
      </w:r>
    </w:p>
    <w:p>
      <w:pPr>
        <w:pStyle w:val="Heading1"/>
        <w:keepNext/>
        <w:spacing w:after="120" w:before="280"/>
      </w:pPr>
      <w:r>
        <w:t xml:space="preserve">1. Общие сведения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55"/>
      </w:tblGrid>
      <w:tr>
        <w:trPr>
          <w:cantSplit/>
          <w:tblHeader/>
        </w:trPr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Параметр</w:t>
            </w:r>
          </w:p>
        </w:tc>
        <w:tc>
          <w:tcPr>
            <w:tcW w:type="dxa" w:w="63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Значение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Наименование объекта закупки</w:t>
            </w:r>
          </w:p>
        </w:tc>
        <w:tc>
          <w:tcPr>
            <w:tcW w:type="dxa" w:w="63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Разработка веб-сайта ФГБОУ ВО «ЧГПУ»: дизайн и программная реализация шаблонов страниц и функциональных модулей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Заказчик</w:t>
            </w:r>
          </w:p>
        </w:tc>
        <w:tc>
          <w:tcPr>
            <w:tcW w:type="dxa" w:w="63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Федеральное государственное бюджетное образовательное учреждение высшего образования «Чеченский государственный педагогический университет» (далее — Заказчик)</w:t>
            </w:r>
          </w:p>
          <w:p>
            <w:r>
              <w:rPr>
                <w:sz w:val="21"/>
                <w:szCs w:val="21"/>
                <w:highlight w:val="yellow"/>
              </w:rPr>
              <w:t xml:space="preserve">Реквизиты Заказчика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Код ОКПД2</w:t>
            </w:r>
          </w:p>
        </w:tc>
        <w:tc>
          <w:tcPr>
            <w:tcW w:type="dxa" w:w="63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  <w:highlight w:val="yellow"/>
              </w:rPr>
              <w:t xml:space="preserve">62.01.11.000 — уточняется Заказчиком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Место выполнения работ</w:t>
            </w:r>
          </w:p>
        </w:tc>
        <w:tc>
          <w:tcPr>
            <w:tcW w:type="dxa" w:w="63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По месту нахождения Исполнителя с удалённым доступом к серверу Заказчика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Срок выполнения работ</w:t>
            </w:r>
          </w:p>
        </w:tc>
        <w:tc>
          <w:tcPr>
            <w:tcW w:type="dxa" w:w="63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Не более 210 календарных дней с даты заключения контракта, поэтапно (раздел 9)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Результат работ</w:t>
            </w:r>
          </w:p>
        </w:tc>
        <w:tc>
          <w:tcPr>
            <w:tcW w:type="dxa" w:w="63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Веб-сайт (далее — Сайт), развёрнутый на сервере Заказчика по техническому адресу, протестированный и готовый к вводу в эксплуатацию</w:t>
            </w:r>
          </w:p>
        </w:tc>
      </w:tr>
    </w:tbl>
    <w:p>
      <w:pPr>
        <w:spacing w:after="60"/>
      </w:pPr>
    </w:p>
    <w:p>
      <w:pPr>
        <w:pStyle w:val="Heading1"/>
        <w:keepNext/>
        <w:spacing w:after="120" w:before="280"/>
      </w:pPr>
      <w:r>
        <w:t xml:space="preserve">2. Границы объекта работ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Объектом работ является новый Сайт, разрабатываемый на системе управления содержимым WordPress и устанавливаемый на сервер, предоставленный Заказчиком.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Объём работ </w:t>
      </w:r>
      <w:r>
        <w:rPr>
          <w:b/>
          <w:bCs/>
        </w:rPr>
        <w:t xml:space="preserve">исчерпывающе</w:t>
      </w:r>
      <w:r>
        <w:t xml:space="preserve"> определяется настоящим ТЗ: 46 страниц по 15 шаблонам (Приложение 1), интерактивные модули (Приложение 2) и иные работы, указанные в разделе 6. Работы и функции, прямо не указанные в ТЗ, в объём работ не входят.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Действующий сайт Заказчика (https://chspu.ru), его программное обеспечение, база данных, страницы, записи, медиафайлы и адреса предметом работ не являются. Адреса страниц действующего сайта в Приложении 1 приведены только для идентификации страниц. Характеристики действующего сайта, а также сведения из коммерческих предложений, презентаций и переписки объём работ не определяют.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Ввод Сайта в эксплуатацию — направление доменного имени, настройка сертификата для домена, снятие запрета индексации, размещение обязательных сведений об образовательной организации, наполнение, решение о дальнейшей работе действующего сайта — осуществляет Заказчик. Приёмка работ не зависит от ввода Сайта в эксплуатацию.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Документы, утверждённые Заказчиком по итогам этапов 1 и 2 (информационная архитектура, прототипы, макеты, перечни), являются детализацией настоящего ТЗ в пределах его объёма: они не увеличивают состав шаблонов, модулей и функций, установленный ТЗ. При противоречии приоритет имеет ТЗ. Правки в ходе согласования не могут добавлять функции.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Запрос на изменение — письменное предложение ответственного лица Заказчика об изменении требований. Работы по запросу на изменение в объём работ не входят и выполняются только после изменения условий контракта в допускаемом им порядке.</w:t>
      </w:r>
    </w:p>
    <w:p>
      <w:pPr>
        <w:pStyle w:val="Heading1"/>
        <w:keepNext/>
        <w:spacing w:after="120" w:before="280"/>
      </w:pPr>
      <w:r>
        <w:t xml:space="preserve">3. Цели работ</w:t>
      </w:r>
    </w:p>
    <w:p>
      <w:pPr>
        <w:spacing w:after="100"/>
        <w:jc w:val="both"/>
      </w:pPr>
      <w:r>
        <w:t xml:space="preserve">Работы направлены на создание Сайта в обновлённом визуальном стиле на основе фирменного стиля ЧГПУ 2023 года, с удобной навигацией для абитуриентов, студентов, выпускников и сотрудников и с функциональными модулями, перечисленными в разделе 5. Цели работ критериями приёмки не являются.</w:t>
      </w:r>
    </w:p>
    <w:p>
      <w:pPr>
        <w:pStyle w:val="Heading1"/>
        <w:keepNext/>
        <w:spacing w:after="120" w:before="280"/>
      </w:pPr>
      <w:r>
        <w:t xml:space="preserve">4. Платформа</w:t>
      </w:r>
    </w:p>
    <w:p>
      <w:pPr>
        <w:spacing w:after="100"/>
        <w:jc w:val="both"/>
      </w:pPr>
      <w:r>
        <w:t xml:space="preserve">Сайт разрабатывается на системе управления содержимым WordPress. Указание платформы обусловлено необходимостью обеспечить совместимость с программным обеспечением, используемым Заказчиком: действующий сайт Заказчика функционирует на WordPress, что позволяет Заказчику переносить содержимое штатными средствами экспорта и импорта WordPress, а сотрудникам — работать в привычной системе управления. WordPress распространяется по свободной лицензии без лицензионных платежей и доступен любому участнику закупки. </w:t>
      </w:r>
      <w:r>
        <w:rPr>
          <w:highlight w:val="yellow"/>
        </w:rPr>
        <w:t xml:space="preserve">Обоснование подтверждается контрактной службой Заказчика.</w:t>
      </w:r>
    </w:p>
    <w:p>
      <w:pPr>
        <w:pStyle w:val="Heading1"/>
        <w:keepNext/>
        <w:spacing w:after="120" w:before="280"/>
      </w:pPr>
      <w:r>
        <w:t xml:space="preserve">5. Состав работ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6655"/>
        <w:gridCol w:w="1800"/>
      </w:tblGrid>
      <w:tr>
        <w:trPr>
          <w:cantSplit/>
          <w:tblHeader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№</w:t>
            </w:r>
          </w:p>
        </w:tc>
        <w:tc>
          <w:tcPr>
            <w:tcW w:type="dxa" w:w="6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Вид работ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Пункт ТЗ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6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Проектирование: анализ структуры, информационная архитектура, прототипы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6.1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6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Дизайн-система и макеты 15 шаблонов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6.2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6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Разработка темы WordPress и вёрстка 15 шаблонов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6.3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6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Страница приёмной кампании с интерактивными модулями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6.4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6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Страница «Программа развития ЧГПУ 2026–2030»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6.5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6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Размещение материалов Заказчика на 46 страницах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6.6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7</w:t>
            </w:r>
          </w:p>
        </w:tc>
        <w:tc>
          <w:tcPr>
            <w:tcW w:type="dxa" w:w="6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Каталог образовательных программ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6.7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6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Поиск по Сайту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6.8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6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Каталог-магазин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6.9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6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Приём онлайн-платежей и передача сведений в 1С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6.10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11</w:t>
            </w:r>
          </w:p>
        </w:tc>
        <w:tc>
          <w:tcPr>
            <w:tcW w:type="dxa" w:w="6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AI-помощник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6.11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12</w:t>
            </w:r>
          </w:p>
        </w:tc>
        <w:tc>
          <w:tcPr>
            <w:tcW w:type="dxa" w:w="6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Подготовка серверного окружения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6.12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13</w:t>
            </w:r>
          </w:p>
        </w:tc>
        <w:tc>
          <w:tcPr>
            <w:tcW w:type="dxa" w:w="6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Тестирование и развёртывание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6.13</w:t>
            </w:r>
          </w:p>
        </w:tc>
      </w:tr>
    </w:tbl>
    <w:p>
      <w:pPr>
        <w:spacing w:after="60"/>
      </w:pPr>
    </w:p>
    <w:p>
      <w:pPr>
        <w:pStyle w:val="Heading1"/>
        <w:keepNext/>
        <w:spacing w:after="120" w:before="280"/>
      </w:pPr>
      <w:r>
        <w:t xml:space="preserve">6. Требования к выполнению работ</w:t>
      </w:r>
    </w:p>
    <w:p>
      <w:pPr>
        <w:pStyle w:val="Heading2"/>
        <w:keepNext/>
        <w:spacing w:after="80" w:before="200"/>
      </w:pPr>
      <w:r>
        <w:t xml:space="preserve">6.1. Проектирование</w:t>
      </w:r>
    </w:p>
    <w:p>
      <w:pPr>
        <w:spacing w:after="100"/>
        <w:jc w:val="both"/>
      </w:pPr>
      <w:r>
        <w:t xml:space="preserve">Исполнитель: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анализирует структуру страниц, указанных в Приложении 1, и материалы Заказчика;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описывает пользовательские сценарии для четырёх групп пользователей: абитуриент, студент, выпускник, сотрудник;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разрабатывает информационную архитектуру Сайта в пределах 15 шаблонов: карту страниц, структуру главного меню и меню разделов;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разрабатывает интерактивные прототипы 5 ключевых шаблонов, перечень которых согласуется в начале этапа;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утверждает с Заказчиком перечень компонентов дизайн-системы, наборы полей типов данных (пп. 6.3, 6.7, 6.9 — не более 20 полей на каждый тип), состав полей файла выгрузки (п. 6.10), правила работы модулей (пп. 6.7–6.9).</w:t>
      </w:r>
    </w:p>
    <w:p>
      <w:pPr>
        <w:spacing w:after="100"/>
        <w:jc w:val="both"/>
      </w:pPr>
      <w:r>
        <w:t xml:space="preserve">Предложения Заказчика по структуре передаются одним сводным документом в течение 14 календарных дней с начала этапа и учитываются в пределах 15 шаблонов. Согласование прототипов — до 2 итераций.</w:t>
      </w:r>
    </w:p>
    <w:p>
      <w:pPr>
        <w:spacing w:after="100"/>
        <w:jc w:val="both"/>
      </w:pPr>
      <w:r>
        <w:rPr>
          <w:b/>
          <w:bCs/>
        </w:rPr>
        <w:t xml:space="preserve">Результат:</w:t>
      </w:r>
      <w:r>
        <w:t xml:space="preserve"> документ «Информационная архитектура», прототипы и перечни, утверждённые Заказчиком.</w:t>
      </w:r>
    </w:p>
    <w:p>
      <w:pPr>
        <w:pStyle w:val="Heading2"/>
        <w:keepNext/>
        <w:spacing w:after="80" w:before="200"/>
      </w:pPr>
      <w:r>
        <w:t xml:space="preserve">6.2. Дизайн-система и макеты</w:t>
      </w:r>
    </w:p>
    <w:p>
      <w:pPr>
        <w:spacing w:after="100"/>
        <w:jc w:val="both"/>
      </w:pPr>
      <w:r>
        <w:t xml:space="preserve">Исполнитель: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разрабатывает дизайн-систему на основе фирменного стиля ЧГПУ 2023 года: цвета, типографику, сетку, отступы (дизайн-токены);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разрабатывает библиотеку из 30 интерфейсных компонентов по перечню, утверждённому на этапе 1;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разрабатывает макеты 15 шаблонов (Приложение 1) для трёх ширин экрана: 1440 px, 768 px, 375 px;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разрабатывает контрастную цветовую схему для версии для слабовидящих;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разрабатывает дизайн каталога программ (список и карточка), страницы результатов поиска и подсказок, интерактивных модулей Приложения 2, секций страницы «Программа развития».</w:t>
      </w:r>
    </w:p>
    <w:p>
      <w:pPr>
        <w:spacing w:after="100"/>
        <w:jc w:val="both"/>
      </w:pPr>
      <w:r>
        <w:t xml:space="preserve">Карточка новости, страница ошибки 404, раздел «Сведения об образовательной организации», экраны каталога-магазина и окно AI-помощника оформляются компонентами дизайн-системы без отдельных макетов. Согласование — до 3 итераций по каждому макету. Итерация — один сводный письменный перечень правок от ответственного лица Заказчика. Используются шрифты, лицензия которых допускает бессрочное использование на сайте; лицензию на платные шрифты фирменного стиля предоставляет Заказчик.</w:t>
      </w:r>
    </w:p>
    <w:p>
      <w:pPr>
        <w:spacing w:after="100"/>
        <w:jc w:val="both"/>
      </w:pPr>
      <w:r>
        <w:rPr>
          <w:b/>
          <w:bCs/>
        </w:rPr>
        <w:t xml:space="preserve">Результат:</w:t>
      </w:r>
      <w:r>
        <w:t xml:space="preserve"> утверждённые макеты и руководство по дизайн-системе; исходные файлы в формате графического редактора с экспортом в SVG, PNG, PDF.</w:t>
      </w:r>
    </w:p>
    <w:p>
      <w:pPr>
        <w:pStyle w:val="Heading2"/>
        <w:keepNext/>
        <w:spacing w:after="80" w:before="200"/>
      </w:pPr>
      <w:r>
        <w:t xml:space="preserve">6.3. Тема WordPress</w:t>
      </w:r>
    </w:p>
    <w:p>
      <w:pPr>
        <w:spacing w:after="100"/>
        <w:jc w:val="both"/>
      </w:pPr>
      <w:r>
        <w:t xml:space="preserve">Исполнитель: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разрабатывает собственную тему WordPress по утверждённым макетам и выполняет адаптивную вёрстку 15 шаблонов по трём контрольным ширинам экрана: 1440, 768 и 375 px. На ширине более 1440 px содержимое выравнивается по центру с ограничением ширины; на промежуточных ширинах и при ширине от 360 px отсутствует горизонтальная прокрутка; ширина менее 360 px не поддерживается;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реализует типы данных «Институты и факультеты», «Кафедры», «Образовательные программы», «Новости», «Документы» с наборами полей, утверждёнными на этапе 1;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реализует редактирование блоков страниц через административную панель с использованием конструктора полей, распространяемого по свободной лицензии без оплаты;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реализует главное меню, меню разделов, хлебные крошки;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реализует в ленте новостей постраничный вывод и фильтры по рубрике (до 15 рубрик) и году публикации;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реализует переключатель цветовой схемы (обычная / контрастная) для версии для слабовидящих без изменения иных параметров отображения;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размещает ссылки на внешние системы Заказчика (ЭИОС, личный кабинет, система дистанционного обучения) без интеграции с ними;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реализует на основе шаблона 13 «Документная страница» шаблон раздела «Сведения об образовательной организации» по адресу /sveden/, позволяющий администратору размещать содержимое с атрибутами микроразметки, предусмотренными приказом Рособрнадзора от 04.08.2023 № 1493. Создание подразделов, наполнение раздела, полнота и достоверность сведений обеспечиваются Заказчиком.</w:t>
      </w:r>
    </w:p>
    <w:p>
      <w:pPr>
        <w:spacing w:after="100"/>
        <w:jc w:val="both"/>
      </w:pPr>
      <w:r>
        <w:t xml:space="preserve">Заказчик вправе самостоятельно создавать новые страницы с использованием реализованных шаблонов.</w:t>
      </w:r>
    </w:p>
    <w:p>
      <w:pPr>
        <w:spacing w:after="100"/>
        <w:jc w:val="both"/>
      </w:pPr>
      <w:r>
        <w:rPr>
          <w:b/>
          <w:bCs/>
        </w:rPr>
        <w:t xml:space="preserve">Результат:</w:t>
      </w:r>
      <w:r>
        <w:t xml:space="preserve"> тема WordPress, установленная на сервере Заказчика.</w:t>
      </w:r>
    </w:p>
    <w:p>
      <w:pPr>
        <w:pStyle w:val="Heading2"/>
        <w:keepNext/>
        <w:spacing w:after="80" w:before="200"/>
      </w:pPr>
      <w:r>
        <w:t xml:space="preserve">6.4. Страница приёмной кампании</w:t>
      </w:r>
    </w:p>
    <w:p>
      <w:pPr>
        <w:spacing w:after="100"/>
        <w:jc w:val="both"/>
      </w:pPr>
      <w:r>
        <w:t xml:space="preserve">Исполнитель разрабатывает страницу приёмной кампании по утверждённому прототипу с интерактивными модулями по </w:t>
      </w:r>
      <w:r>
        <w:rPr>
          <w:b/>
          <w:bCs/>
        </w:rPr>
        <w:t xml:space="preserve">исчерпывающему</w:t>
      </w:r>
      <w:r>
        <w:t xml:space="preserve"> перечню Приложения 2. Данные модулей (даты, баллы, вопросы, тексты) вносятся через административную панель. Анимация появления элементов — по утверждённому прототипу, с отключением при системной настройке «уменьшить движение». Страница согласуется до 3 итераций.</w:t>
      </w:r>
    </w:p>
    <w:p>
      <w:pPr>
        <w:spacing w:after="100"/>
        <w:jc w:val="both"/>
      </w:pPr>
      <w:r>
        <w:rPr>
          <w:b/>
          <w:bCs/>
        </w:rPr>
        <w:t xml:space="preserve">Результат:</w:t>
      </w:r>
      <w:r>
        <w:t xml:space="preserve"> адаптивная страница приёмной кампании с модулями Приложения 2.</w:t>
      </w:r>
    </w:p>
    <w:p>
      <w:pPr>
        <w:pStyle w:val="Heading2"/>
        <w:keepNext/>
        <w:spacing w:after="80" w:before="200"/>
      </w:pPr>
      <w:r>
        <w:t xml:space="preserve">6.5. Страница «Программа развития ЧГПУ 2026–2030»</w:t>
      </w:r>
    </w:p>
    <w:p>
      <w:pPr>
        <w:spacing w:after="100"/>
        <w:jc w:val="both"/>
      </w:pPr>
      <w:r>
        <w:t xml:space="preserve">Исполнитель на основе прототипа, переданного Заказчиком до даты заключения контракта, разрабатывает страницу из 13 секций, состав которых определён прототипом, с интерактивным таймлайном, анимированными счётчиками показателей, блоком последних новостей и бегущей строкой. Содержимое секций редактируется через административную панель. Изменения прототипа после заключения контракта являются запросом на изменение.</w:t>
      </w:r>
    </w:p>
    <w:p>
      <w:pPr>
        <w:spacing w:after="100"/>
        <w:jc w:val="both"/>
      </w:pPr>
      <w:r>
        <w:rPr>
          <w:b/>
          <w:bCs/>
        </w:rPr>
        <w:t xml:space="preserve">Результат:</w:t>
      </w:r>
      <w:r>
        <w:t xml:space="preserve"> адаптивная страница «Программа развития».</w:t>
      </w:r>
    </w:p>
    <w:p>
      <w:pPr>
        <w:pStyle w:val="Heading2"/>
        <w:keepNext/>
        <w:spacing w:after="80" w:before="200"/>
      </w:pPr>
      <w:r>
        <w:t xml:space="preserve">6.6. Размещение материалов на 46 страницах</w:t>
      </w:r>
    </w:p>
    <w:p>
      <w:pPr>
        <w:spacing w:after="100"/>
        <w:jc w:val="both"/>
      </w:pPr>
      <w:r>
        <w:t xml:space="preserve">Исполнитель размещает на страницах Приложения 1 материалы, переданные Заказчиком, в блоках утверждённых шаблонов, и заполняет для них заголовок и описание для поисковых систем.</w:t>
      </w:r>
    </w:p>
    <w:p>
      <w:pPr>
        <w:spacing w:after="100"/>
        <w:jc w:val="both"/>
      </w:pPr>
      <w:r>
        <w:t xml:space="preserve">Требования к материалам: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общий объём — не более 120 000 знаков текста, 480 изображений, 50 документов, 12 видео (ссылкой на видеохостинг);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тексты — в формате DOCX в окончательной редакции, один файл на страницу; изображения — JPG или PNG шириной не менее 1920 px, отобранные Заказчиком, с подписями; документы — PDF;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материалы передаются в срок, указанный в разделе 8; ссылка на страницы действующего сайта материалом не считается;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допускается одна замена материалов по каждой странице, не позднее чем за 20 дней до окончания этапа 4.</w:t>
      </w:r>
    </w:p>
    <w:p>
      <w:pPr>
        <w:spacing w:after="100"/>
        <w:jc w:val="both"/>
      </w:pPr>
      <w:r>
        <w:t xml:space="preserve">Материалы сверх указанного объёма или не соответствующие указанным требованиям размещает Заказчик. Написание, редактирование и вычитка текстов, перевод, обработка изображений (кроме изменения размера), создание документов не выполняются. Лента новостей сдаётся с не более чем 10 новостями, переданными Заказчиком. По перечню Заказчика настраивается не более 46 перенаправлений (код 301) с адресов действующего сайта на адреса страниц Приложения 1; перенаправления начинают действовать после ввода Сайта в эксплуатацию.</w:t>
      </w:r>
    </w:p>
    <w:p>
      <w:pPr>
        <w:spacing w:after="100"/>
        <w:jc w:val="both"/>
      </w:pPr>
      <w:r>
        <w:t xml:space="preserve">Если материалы не переданы в срок, страницы сдаются на демонстрационном содержимом Исполнителя; материалы, переданные позднее, размещаются в рамках этапа 4, если переданы не позднее чем за 20 дней до его окончания.</w:t>
      </w:r>
    </w:p>
    <w:p>
      <w:pPr>
        <w:spacing w:after="100"/>
        <w:jc w:val="both"/>
      </w:pPr>
      <w:r>
        <w:rPr>
          <w:b/>
          <w:bCs/>
        </w:rPr>
        <w:t xml:space="preserve">Результат:</w:t>
      </w:r>
      <w:r>
        <w:t xml:space="preserve"> 46 страниц с размещёнными материалами Заказчика или демонстрационным содержимым.</w:t>
      </w:r>
    </w:p>
    <w:p>
      <w:pPr>
        <w:pStyle w:val="Heading2"/>
        <w:keepNext/>
        <w:spacing w:after="80" w:before="200"/>
      </w:pPr>
      <w:r>
        <w:t xml:space="preserve">6.7. Каталог образовательных программ</w:t>
      </w:r>
    </w:p>
    <w:p>
      <w:pPr>
        <w:spacing w:after="100"/>
        <w:jc w:val="both"/>
      </w:pPr>
      <w:r>
        <w:t xml:space="preserve">Исполнитель реализует: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тип данных «Образовательная программа» с набором полей, утверждённым на этапе 1 (не более 20 полей);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страницу каталога со списком программ и фильтрами по трём признакам: институт/факультет, уровень образования, форма обучения;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карточку программы со ссылкой на страницу института;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вывод программ института на странице института.</w:t>
      </w:r>
    </w:p>
    <w:p>
      <w:pPr>
        <w:spacing w:after="100"/>
        <w:jc w:val="both"/>
      </w:pPr>
      <w:r>
        <w:t xml:space="preserve">Исполнитель вносит до 3 демонстрационных программ. Внесение остальных программ выполняет Заказчик. Сравнение программ, избранное, импорт данных и интеграции с внешними системами не выполняются.</w:t>
      </w:r>
    </w:p>
    <w:p>
      <w:pPr>
        <w:spacing w:after="100"/>
        <w:jc w:val="both"/>
      </w:pPr>
      <w:r>
        <w:rPr>
          <w:b/>
          <w:bCs/>
        </w:rPr>
        <w:t xml:space="preserve">Результат:</w:t>
      </w:r>
      <w:r>
        <w:t xml:space="preserve"> каталог программ с фильтрами.</w:t>
      </w:r>
    </w:p>
    <w:p>
      <w:pPr>
        <w:pStyle w:val="Heading2"/>
        <w:keepNext/>
        <w:spacing w:after="80" w:before="200"/>
      </w:pPr>
      <w:r>
        <w:t xml:space="preserve">6.8. Поиск по Сайту</w:t>
      </w:r>
    </w:p>
    <w:p>
      <w:pPr>
        <w:spacing w:after="100"/>
        <w:jc w:val="both"/>
      </w:pPr>
      <w:r>
        <w:t xml:space="preserve">Исполнитель реализует поиск по заголовкам и тексту новостей, страниц, образовательных программ и карточек документов, размещённых на Сайте, с выводом до 5 подсказок по заголовкам при вводе запроса и страницей результатов, сгруппированных по этим четырём типам материалов. Содержимое вложенных файлов (PDF и др.) не индексируется; исправление опечаток и раскладки не выполняется.</w:t>
      </w:r>
    </w:p>
    <w:p>
      <w:pPr>
        <w:spacing w:after="100"/>
        <w:jc w:val="both"/>
      </w:pPr>
      <w:r>
        <w:t xml:space="preserve">Критерий приёмки: по каждому из 20 контрольных запросов, переданных Заказчиком (раздел 8), материал, размещённый на Сайте на дату проверки, выводится в первых 10 результатах.</w:t>
      </w:r>
    </w:p>
    <w:p>
      <w:pPr>
        <w:spacing w:after="100"/>
        <w:jc w:val="both"/>
      </w:pPr>
      <w:r>
        <w:rPr>
          <w:b/>
          <w:bCs/>
        </w:rPr>
        <w:t xml:space="preserve">Результат:</w:t>
      </w:r>
      <w:r>
        <w:t xml:space="preserve"> поиск по Сайту.</w:t>
      </w:r>
    </w:p>
    <w:p>
      <w:pPr>
        <w:pStyle w:val="Heading2"/>
        <w:keepNext/>
        <w:spacing w:after="80" w:before="200"/>
      </w:pPr>
      <w:r>
        <w:t xml:space="preserve">6.9. Каталог-магазин</w:t>
      </w:r>
    </w:p>
    <w:p>
      <w:pPr>
        <w:spacing w:after="100"/>
        <w:jc w:val="both"/>
      </w:pPr>
      <w:r>
        <w:t xml:space="preserve">Исполнитель на базе расширения электронной торговли для WordPress, распространяемого по свободной лицензии, реализует: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каталог товаров четырёх типов: печатное издание и сувенирная продукция (получение самовывозом), электронное издание (файл для скачивания по ссылке после оплаты, без защиты от копирования), онлайн-курс (без доставки) — с карточкой товара по набору полей, утверждённому на этапе 1;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корзину и оформление заказа с полями, утверждёнными на этапе 1;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блок «Связанные товары» на карточке товара;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скидку на связанный товар (например, книга к курсу) по правилам «основной товар → связанный товар» (до 10 правил): при покупке в одном заказе — автоматически в корзине; после оплаты основного товара — персональный одноразовый купон на связанный товар в письме покупателю. Размер скидки и срок действия купона задаёт Заказчик в административной панели;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до 5 уведомлений покупателю по электронной почте (оформление заказа, оплата, отмена, письмо с купоном и др.) по шаблонам, утверждённым на этапе 1.</w:t>
      </w:r>
    </w:p>
    <w:p>
      <w:pPr>
        <w:spacing w:after="100"/>
        <w:jc w:val="both"/>
      </w:pPr>
      <w:r>
        <w:t xml:space="preserve">Исполнитель вносит до 5 демонстрационных товаров; наполнение каталога выполняет Заказчик. Для онлайн-курса Сайт принимает оплату и направляет уведомление; доступ к курсу предоставляется вне Сайта. Иные типы товаров, доставка, интеграции со службами доставки, оплата по счёту, личный кабинет сверх штатной регистрации, складской учёт, программы лояльности, накопительные и иные скидки, кроме указанных выше, не выполняются.</w:t>
      </w:r>
    </w:p>
    <w:p>
      <w:pPr>
        <w:spacing w:after="100"/>
        <w:jc w:val="both"/>
      </w:pPr>
      <w:r>
        <w:rPr>
          <w:b/>
          <w:bCs/>
        </w:rPr>
        <w:t xml:space="preserve">Результат:</w:t>
      </w:r>
      <w:r>
        <w:t xml:space="preserve"> каталог-магазин с корзиной и оформлением заказа.</w:t>
      </w:r>
    </w:p>
    <w:p>
      <w:pPr>
        <w:pStyle w:val="Heading2"/>
        <w:keepNext/>
        <w:spacing w:after="80" w:before="200"/>
      </w:pPr>
      <w:r>
        <w:t xml:space="preserve">6.10. Приём онлайн-платежей и передача сведений в 1С</w:t>
      </w:r>
    </w:p>
    <w:p>
      <w:pPr>
        <w:spacing w:after="100"/>
        <w:jc w:val="both"/>
      </w:pPr>
      <w:r>
        <w:t xml:space="preserve">Исполнитель в пределах штатной функциональности готовых модулей: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подключает интернет-эквайринг через платёжный сервис, выбранный Заказчиком и имеющий готовый модуль для расширения электронной торговли (п. 6.9); при отсутствии у выбранного сервиса готового модуля подключение является запросом на изменение;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настраивает передачу данных для кассового чека (ставка НДС, признак предмета расчёта, признак способа расчёта) по значениям, письменно предоставленным Заказчиком; применение онлайн-кассы и договор с оператором фискальных данных обеспечивает Заказчик;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настраивает передачу сведений о заказах и оплатах в 1С с использованием типового модуля обмена (протокол CommerceML или эквивалент) — при поддержке такого обмена конфигурацией 1С Заказчика; при отсутствии поддержки — выгрузку сведений в файл XML или CSV по составу полей, утверждённому на этапе 1. Загрузку файла в 1С обеспечивает Заказчик;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проводит тестирование платежей в тестовом режиме платёжного сервиса. Если тестовый режим недоступен без договора Заказчика, сдаётся настроенный модуль оплаты.</w:t>
      </w:r>
    </w:p>
    <w:p>
      <w:pPr>
        <w:spacing w:after="100"/>
        <w:jc w:val="both"/>
      </w:pPr>
      <w:r>
        <w:t xml:space="preserve">Договор интернет-эквайринга заключает Заказчик. Доработка и настройка конфигурации 1С не выполняются. </w:t>
      </w:r>
      <w:r>
        <w:rPr>
          <w:highlight w:val="yellow"/>
        </w:rPr>
        <w:t xml:space="preserve">Конфигурация 1С Заказчика — уточняется Заказчиком.</w:t>
      </w:r>
    </w:p>
    <w:p>
      <w:pPr>
        <w:spacing w:after="100"/>
        <w:jc w:val="both"/>
      </w:pPr>
      <w:r>
        <w:rPr>
          <w:b/>
          <w:bCs/>
        </w:rPr>
        <w:t xml:space="preserve">Результат:</w:t>
      </w:r>
      <w:r>
        <w:t xml:space="preserve"> модуль оплаты, проверенный в тестовом режиме платёжного сервиса (либо настроенный — в указанном выше случае), и передача сведений о заказах в 1С либо их выгрузка в файл.</w:t>
      </w:r>
    </w:p>
    <w:p>
      <w:pPr>
        <w:pStyle w:val="Heading2"/>
        <w:keepNext/>
        <w:spacing w:after="80" w:before="200"/>
      </w:pPr>
      <w:r>
        <w:t xml:space="preserve">6.11. AI-помощник</w:t>
      </w:r>
    </w:p>
    <w:p>
      <w:pPr>
        <w:spacing w:after="100"/>
        <w:jc w:val="both"/>
      </w:pPr>
      <w:r>
        <w:t xml:space="preserve">Исполнитель: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формирует базу знаний из материалов Заказчика по темам «Приёмная кампания», «Стипендии», «Образовательные программы» (объёмом не более 300 страниц формата А4, переданных в срок, указанный в разделе 8) и текстов страниц Приложения 1;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реализует AI-помощника на основе языковой модели с поиском по базе знаний: ответы на русском языке, ссылки на страницы Сайта, предложение контактов приёмной комиссии при отсутствии ответа в базе знаний;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реализует окно чата без полей для ввода персональных данных, доступное на всех страницах Сайта; журналы диалогов не сохраняются;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передаёт инструкцию по обновлению базы знаний.</w:t>
      </w:r>
    </w:p>
    <w:p>
      <w:pPr>
        <w:spacing w:after="100"/>
        <w:jc w:val="both"/>
      </w:pPr>
      <w:r>
        <w:t xml:space="preserve">Языковая модель выбирается по согласованию с Заказчиком; доступ к ней (учётная запись, оплата) обеспечивает Заказчик. </w:t>
      </w:r>
      <w:r>
        <w:rPr>
          <w:highlight w:val="yellow"/>
        </w:rPr>
        <w:t xml:space="preserve">Требование к российской языковой модели — уточняется Заказчиком.</w:t>
      </w:r>
      <w:r>
        <w:t xml:space="preserve"> Серверная часть размещается на сервере Заказчика (п. 6.12). Ответы AI-помощника носят справочный характер.</w:t>
      </w:r>
    </w:p>
    <w:p>
      <w:pPr>
        <w:spacing w:after="100"/>
        <w:jc w:val="both"/>
      </w:pPr>
      <w:r>
        <w:t xml:space="preserve">Критерий приёмки: 50 вопросов с эталонными ответами передаёт Заказчик (раздел 8); вопросы, ответ на которые отсутствует в базе знаний, исключаются из подсчёта. Ответ засчитывается, если содержит ключевые факты эталонного ответа и не противоречит ему. Проверка проводится однократно совместно с Заказчиком и оформляется протоколом. Доля засчитанных ответов — не менее 80 %. При требовании Заказчика использовать определённую языковую модель критерий согласуется повторно. При недоступности языковой модели по причинам, не зависящим от Исполнителя, проверка переносится.</w:t>
      </w:r>
    </w:p>
    <w:p>
      <w:pPr>
        <w:spacing w:after="100"/>
        <w:jc w:val="both"/>
      </w:pPr>
      <w:r>
        <w:rPr>
          <w:b/>
          <w:bCs/>
        </w:rPr>
        <w:t xml:space="preserve">Результат:</w:t>
      </w:r>
      <w:r>
        <w:t xml:space="preserve"> AI-помощник на Сайте и инструкция по обновлению базы знаний.</w:t>
      </w:r>
    </w:p>
    <w:p>
      <w:pPr>
        <w:pStyle w:val="Heading2"/>
        <w:keepNext/>
        <w:spacing w:after="80" w:before="200"/>
      </w:pPr>
      <w:r>
        <w:t xml:space="preserve">6.12. Подготовка серверного окружения</w:t>
      </w:r>
    </w:p>
    <w:p>
      <w:pPr>
        <w:spacing w:after="100"/>
        <w:jc w:val="both"/>
      </w:pPr>
      <w:r>
        <w:t xml:space="preserve">Исполнитель передаёт Заказчику требования к серверу и после предоставления сервера устанавливает и настраивает WordPress, базу данных, веб-сервер, PHP и компоненты AI-помощника. Если сервер не предоставлен или не соответствует требованиям, результаты этапа 3 сдаются на сервере Исполнителя. Администрирование, резервное копирование, мониторинг и сопровождение сервера не выполняются.</w:t>
      </w:r>
    </w:p>
    <w:p>
      <w:pPr>
        <w:spacing w:after="100"/>
        <w:jc w:val="both"/>
      </w:pPr>
      <w:r>
        <w:rPr>
          <w:b/>
          <w:bCs/>
        </w:rPr>
        <w:t xml:space="preserve">Результат:</w:t>
      </w:r>
      <w:r>
        <w:t xml:space="preserve"> документ «Требования к серверному окружению» и настроенный сервер.</w:t>
      </w:r>
    </w:p>
    <w:p>
      <w:pPr>
        <w:pStyle w:val="Heading2"/>
        <w:keepNext/>
        <w:spacing w:after="80" w:before="200"/>
      </w:pPr>
      <w:r>
        <w:t xml:space="preserve">6.13. Тестирование и развёртывание</w:t>
      </w:r>
    </w:p>
    <w:p>
      <w:pPr>
        <w:spacing w:after="100"/>
        <w:jc w:val="both"/>
      </w:pPr>
      <w:r>
        <w:t xml:space="preserve">Исполнитель: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проводит функциональное тестирование шаблонов и модулей на трёх контрольных ширинах экрана (п. 6.3);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проверяет работу в браузерах Яндекс Браузер, Google Chrome, Mozilla Firefox, Microsoft Edge, Safari (macOS, iOS) — двух последних стабильных версиях на дату начала этапа 4;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проверяет шаблоны и модули по применимым к ним критериям ГОСТ Р 52872-2019 (уровень AA) на своём демонстрационном содержимом; выявленные несоответствия отражаются в отчёте;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проводит замер производительности (Google Lighthouse) и техническую SEO-проверку (заголовки, описания, карта сайта, robots.txt) с передачей отчётов;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устраняет блокирующие и критические ошибки (Приложение 3);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развёртывает Сайт на сервере Заказчика по техническому адресу и передаёт руководство администратора в формате PDF.</w:t>
      </w:r>
    </w:p>
    <w:p>
      <w:pPr>
        <w:spacing w:after="100"/>
        <w:jc w:val="both"/>
      </w:pPr>
      <w:r>
        <w:t xml:space="preserve">Критерии приёмки: отсутствие блокирующих и критических ошибок; показатель Accessibility в Google Lighthouse (режим для мобильных устройств, версия фиксируется в протоколе тестирования) не ниже 90 для каждого шаблона на демонстрационном содержимом Исполнителя. Иных критериев доступности и целевых показателей производительности не устанавливается. Приёмка не зависит от наполнения Сайта Заказчиком.</w:t>
      </w:r>
    </w:p>
    <w:p>
      <w:pPr>
        <w:spacing w:after="100"/>
        <w:jc w:val="both"/>
      </w:pPr>
      <w:r>
        <w:rPr>
          <w:b/>
          <w:bCs/>
        </w:rPr>
        <w:t xml:space="preserve">Результат:</w:t>
      </w:r>
      <w:r>
        <w:t xml:space="preserve"> Сайт на сервере Заказчика, руководство администратора, протокол тестирования, отчёты.</w:t>
      </w:r>
    </w:p>
    <w:p>
      <w:pPr>
        <w:pStyle w:val="Heading1"/>
        <w:keepNext/>
        <w:spacing w:after="120" w:before="280"/>
      </w:pPr>
      <w:r>
        <w:t xml:space="preserve">7. Общие требования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Версии WordPress и PHP (не ниже 8.1) фиксируются протоколом на начало этапа 3, версии расширений — протоколом передачи. Последующее обновление WordPress, PHP и расширений выполняет Заказчик.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Безопасность обеспечивается штатными механизмами WordPress: разграничение ролей, экранирование вводимых данных.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Оператором персональных данных является Заказчик. До ввода Сайта в эксплуатацию используются тестовые данные. Формы Сайта содержат согласие на обработку персональных данных и ссылку на политику Заказчика; тексты согласия и политики предоставляет Заказчик.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Сайт создаётся в одной языковой версии — русской.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Используются расширения, распространяемые по свободной лицензии без оплаты; использование платных расширений — по письменному согласию Заказчика с приобретением лицензий Заказчиком.</w:t>
      </w:r>
    </w:p>
    <w:p>
      <w:pPr>
        <w:pStyle w:val="Heading1"/>
        <w:keepNext/>
        <w:spacing w:after="120" w:before="280"/>
      </w:pPr>
      <w:r>
        <w:t xml:space="preserve">8. Исходные данные и обязанности Заказчика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755"/>
        <w:gridCol w:w="3000"/>
      </w:tblGrid>
      <w:tr>
        <w:trPr>
          <w:cantSplit/>
          <w:tblHeader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№</w:t>
            </w:r>
          </w:p>
        </w:tc>
        <w:tc>
          <w:tcPr>
            <w:tcW w:type="dxa" w:w="5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Исходные данные / действие Заказчика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Срок</w:t>
            </w:r>
          </w:p>
        </w:tc>
      </w:tr>
      <w:tr>
        <w:trPr>
          <w:cantSplit/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5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Назначить ответственное лицо и адрес электронной почты для переписки; переписка и замечания — только через него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В течение 5 календарных дней с даты заключения контракта</w:t>
            </w:r>
          </w:p>
        </w:tc>
      </w:tr>
      <w:tr>
        <w:trPr>
          <w:cantSplit/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5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Прототип страницы «Программа развития»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До даты заключения контракта</w:t>
            </w:r>
          </w:p>
        </w:tc>
      </w:tr>
      <w:tr>
        <w:trPr>
          <w:cantSplit/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5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Фирменный стиль, шрифты (при необходимости — с лицензией)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В течение 7 календарных дней с даты заключения контракта</w:t>
            </w:r>
          </w:p>
        </w:tc>
      </w:tr>
      <w:tr>
        <w:trPr>
          <w:cantSplit/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5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Предложения по структуре Сайта (одним документом)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В течение 14 календарных дней с начала этапа 1</w:t>
            </w:r>
          </w:p>
        </w:tc>
      </w:tr>
      <w:tr>
        <w:trPr>
          <w:cantSplit/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5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Материалы для 46 страниц (п. 6.6), перечень перенаправлений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Не позднее 30 календарных дней с даты заключения контракта</w:t>
            </w:r>
          </w:p>
        </w:tc>
      </w:tr>
      <w:tr>
        <w:trPr>
          <w:cantSplit/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5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Сервер (VPS) с административным доступом по требованиям Исполнителя; доступ к языковой модели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До начала этапа 3</w:t>
            </w:r>
          </w:p>
        </w:tc>
      </w:tr>
      <w:tr>
        <w:trPr>
          <w:cantSplit/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7</w:t>
            </w:r>
          </w:p>
        </w:tc>
        <w:tc>
          <w:tcPr>
            <w:tcW w:type="dxa" w:w="5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Данные модулей: даты, баллы, стипендии, вопросы и ответы; материалы базы знаний; 50 вопросов с эталонными ответами для AI-помощника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До начала этапа 3</w:t>
            </w:r>
          </w:p>
        </w:tc>
      </w:tr>
      <w:tr>
        <w:trPr>
          <w:cantSplit/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5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20 контрольных запросов для проверки поиска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До начала этапа 4</w:t>
            </w:r>
          </w:p>
        </w:tc>
      </w:tr>
      <w:tr>
        <w:trPr>
          <w:cantSplit/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5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Договор интернет-эквайринга, данные для кассового чека, участие специалиста 1С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До начала этапа 4</w:t>
            </w:r>
          </w:p>
        </w:tc>
      </w:tr>
      <w:tr>
        <w:trPr>
          <w:cantSplit/>
          <w:tblHeader w:val="off"/>
        </w:trP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57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Рассмотрение и согласование результатов (прототипы, макеты, перечни)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Не более 7 календарных дней</w:t>
            </w:r>
          </w:p>
        </w:tc>
      </w:tr>
    </w:tbl>
    <w:p>
      <w:pPr>
        <w:spacing w:after="60"/>
      </w:pPr>
    </w:p>
    <w:p>
      <w:pPr>
        <w:spacing w:after="100"/>
        <w:jc w:val="both"/>
      </w:pPr>
      <w:r>
        <w:t xml:space="preserve">Наполнение Сайта сверх п. 6.6, ввод Сайта в эксплуатацию, создание подразделов и наполнение раздела «Сведения об образовательной организации» обеспечивает Заказчик. Заказчик гарантирует наличие у него прав на передаваемые материалы (тексты, изображения, видео, логотипы партнёров, отзывы) и согласий лиц, изображённых на них.</w:t>
      </w:r>
    </w:p>
    <w:p>
      <w:pPr>
        <w:spacing w:after="100"/>
        <w:jc w:val="both"/>
      </w:pPr>
      <w:r>
        <w:t xml:space="preserve">Если замечания к результату не направлены в установленный срок либо исчерпан лимит итераций, Исполнитель продолжает работы по последней версии результата, соответствующей ТЗ; правки сверх лимита итераций являются запросом на изменение. При непредоставлении исходных данных в срок Исполнитель выполняет и сдаёт зависящие от них работы на демонстрационных данных. На период просрочки Заказчика Исполнитель не считается просрочившим зависящие от неё работы и вправе приостановить их, уведомив Заказчика. Рабочие встречи — по видеосвязи по согласованию, не чаще одного раза в неделю.</w:t>
      </w:r>
    </w:p>
    <w:p>
      <w:pPr>
        <w:pStyle w:val="Heading1"/>
        <w:keepNext/>
        <w:spacing w:after="120" w:before="280"/>
      </w:pPr>
      <w:r>
        <w:t xml:space="preserve">9. Этапы и сроки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055"/>
        <w:gridCol w:w="1800"/>
        <w:gridCol w:w="2600"/>
      </w:tblGrid>
      <w:tr>
        <w:trPr>
          <w:cantSplit/>
          <w:tblHeader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Этап</w:t>
            </w:r>
          </w:p>
        </w:tc>
        <w:tc>
          <w:tcPr>
            <w:tcW w:type="dxa" w:w="40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Состав работ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Пункты ТЗ</w:t>
            </w:r>
          </w:p>
        </w:tc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Окончание (календарных дней с даты заключения контракта)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40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Проектирование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6.1</w:t>
            </w:r>
          </w:p>
        </w:tc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30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40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Дизайн-система и макеты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6.2</w:t>
            </w:r>
          </w:p>
        </w:tc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75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40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Разработка темы, страниц и модулей, подготовка сервера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6.3–6.5, 6.7–6.12</w:t>
            </w:r>
          </w:p>
        </w:tc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180</w:t>
            </w:r>
          </w:p>
        </w:tc>
      </w:tr>
      <w:tr>
        <w:trPr>
          <w:cantSplit/>
          <w:tblHeader w:val="off"/>
        </w:trPr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40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Размещение материалов, тестирование, развёртывание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6.6, 6.13</w:t>
            </w:r>
          </w:p>
        </w:tc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210</w:t>
            </w:r>
          </w:p>
        </w:tc>
      </w:tr>
    </w:tbl>
    <w:p>
      <w:pPr>
        <w:spacing w:after="60"/>
      </w:pPr>
    </w:p>
    <w:p>
      <w:pPr>
        <w:pStyle w:val="Heading1"/>
        <w:keepNext/>
        <w:spacing w:after="120" w:before="280"/>
      </w:pPr>
      <w:r>
        <w:t xml:space="preserve">10. Порядок приёмки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По завершении этапа Исполнитель передаёт результаты и документ о приёмке в порядке, установленном </w:t>
      </w:r>
      <w:r>
        <w:rPr>
          <w:highlight w:val="yellow"/>
        </w:rPr>
        <w:t xml:space="preserve">______________</w:t>
      </w:r>
      <w:r>
        <w:t xml:space="preserve">. Приёмка и оплата — поэтапные. Экспертиза результатов проводится по критериям, установленным настоящим ТЗ.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Заказчик в течение 14 календарных дней подписывает документ о приёмке либо направляет мотивированный отказ. Основанием отказа является только несоответствие результата настоящему ТЗ и документам, утверждённым на этапах 1–2, с указанием нарушенного пункта. При приёмке Заказчик указывает все выявленные несоответствия.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Исполнитель устраняет замечания в течение 15 календарных дней; при их устранении в этот срок датой выполнения этапа считается дата первичной передачи результата. Повторная проверка охватывает устранённые замечания и затронутые исправлениями функции.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Пожелания, не связанные с несоответствием ТЗ, являются запросом на изменение. Незначительные ошибки (Приложение 3) не препятствуют приёмке результата и устраняются Исполнителем в течение гарантийного срока.</w:t>
      </w:r>
    </w:p>
    <w:p>
      <w:pPr>
        <w:pStyle w:val="Heading1"/>
        <w:keepNext/>
        <w:spacing w:after="120" w:before="280"/>
      </w:pPr>
      <w:r>
        <w:t xml:space="preserve">11. Передаваемые результаты и права</w:t>
      </w:r>
    </w:p>
    <w:p>
      <w:pPr>
        <w:spacing w:after="100"/>
        <w:jc w:val="both"/>
      </w:pPr>
      <w:r>
        <w:t xml:space="preserve">Заказчику передаются: исходные файлы макетов; исходный код темы и модулей; руководство администратора; инструкция по обновлению базы знаний AI-помощника; требования к серверному окружению; протоколы тестирования.</w:t>
      </w:r>
    </w:p>
    <w:p>
      <w:pPr>
        <w:spacing w:after="100"/>
        <w:jc w:val="both"/>
      </w:pPr>
      <w:r>
        <w:t xml:space="preserve">Исключительные права на макеты и программный код, созданные Исполнителем по контракту, переходят к Заказчику с даты подписания документа о приёмке этапа. На программные компоненты, созданные Исполнителем до заключения контракта, Заказчику предоставляется простая (неисключительная) лицензия на весь срок действия исключительного права, без ограничения территории, для использования, воспроизведения и модификации в составе Сайта; вознаграждение включено в цену контракта; перечень таких компонентов передаётся с документом о приёмке этапа 3. Сторонние компоненты используются на условиях их лицензий.</w:t>
      </w:r>
    </w:p>
    <w:p>
      <w:pPr>
        <w:pStyle w:val="Heading1"/>
        <w:keepNext/>
        <w:spacing w:after="120" w:before="280"/>
      </w:pPr>
      <w:r>
        <w:t xml:space="preserve">12. Гарантия</w:t>
      </w:r>
    </w:p>
    <w:p>
      <w:pPr>
        <w:spacing w:after="100"/>
        <w:jc w:val="both"/>
      </w:pPr>
      <w:r>
        <w:t xml:space="preserve">Гарантийный срок — 2 (два) месяца с даты приёмки последнего этапа. Исполнитель безвозмездно устраняет ошибки в течение 15 календарных дней с даты уведомления и предоставления доступа к серверу. Ошибкой является воспроизводимое несоответствие результата настоящему ТЗ на неизменённом окружении, соответствующем требованиям к серверу. Гарантия не распространяется на: изменения кода, настроек и окружения Заказчиком или третьими лицами; обновления WordPress, PHP, расширений и браузеров после приёмки; содержание ответов языковой модели (качество ответов проверяется однократно при приёмке), изменения языковой модели или условий её провайдера; изменения законодательства; содержимое, размещённое Заказчиком; доработки, консультации и новые требования.</w:t>
      </w:r>
    </w:p>
    <w:p>
      <w:pPr>
        <w:pStyle w:val="Heading1"/>
        <w:keepNext/>
        <w:spacing w:after="120" w:before="280"/>
      </w:pPr>
      <w:r>
        <w:t xml:space="preserve">13. Не входит в объём работ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Перенос, воспроизведение и отображение страниц, записей, медиафайлов, архива новостей, учётных записей и адресов действующего сайта; работы с действующим сайтом.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Страницы сверх Приложения 1, модули сверх Приложения 2, функции модулей сверх пп. 6.7–6.11.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Создание подразделов и наполнение раздела «Сведения об образовательной организации» (кроме шаблона по п. 6.3); полнота и достоверность размещаемых сведений.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Наполнение сверх п. 6.6: внесение программ, товаров, новостей, документов; написание и редактирование текстов, перевод, фото- и видеосъёмка, обработка изображений.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Иностранные языковые версии.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Направление доменного имени, сертификаты для домена, ввод в эксплуатацию, сохранение позиций и посещаемости в поисковых системах.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Интеграции с внешними системами (ЭИОС, личный кабинет, СДО, ЕПГУ и др.), кроме п. 6.10; доработка конфигурации 1С; платформа онлайн-курсов; доставка.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Мероприятия по защите информации и персональных данных: модель угроз, средства защиты информации, аттестация, выполнение требований ФСТЭК России, отнесение к объектам критической информационной инфраструктуры.</w:t>
      </w:r>
    </w:p>
    <w:p>
      <w:pPr>
        <w:pStyle w:val="ListParagraph"/>
        <w:numPr>
          <w:ilvl w:val="0"/>
          <w:numId w:val="2"/>
        </w:numPr>
        <w:spacing w:after="60"/>
        <w:jc w:val="left"/>
      </w:pPr>
      <w:r>
        <w:t xml:space="preserve">Администрирование и сопровождение сервера и Сайта, обучение сотрудников, консультации и техническая поддержка, в том числе в гарантийный срок (кроме устранения ошибок по разделу 12).</w:t>
      </w:r>
    </w:p>
    <w:p>
      <w:pPr>
        <w:pageBreakBefore/>
        <w:jc w:val="right"/>
      </w:pPr>
      <w:r>
        <w:rPr>
          <w:b/>
          <w:bCs/>
        </w:rPr>
        <w:t xml:space="preserve">Приложение 1</w:t>
      </w:r>
    </w:p>
    <w:p>
      <w:pPr>
        <w:spacing w:after="200" w:before="120"/>
        <w:jc w:val="center"/>
      </w:pPr>
      <w:r>
        <w:rPr>
          <w:b/>
          <w:bCs/>
        </w:rPr>
        <w:t xml:space="preserve">Перечень страниц и шаблонов</w:t>
      </w:r>
    </w:p>
    <w:p>
      <w:pPr>
        <w:spacing w:after="100"/>
        <w:jc w:val="both"/>
      </w:pPr>
      <w:r>
        <w:t xml:space="preserve">Перечень составлен по документу Заказчика «Разделы и подразделы сайта ЧГПУ под редизайн» (45 позиций) с добавлением страницы «Программа развития». Адреса действующего сайта указаны только для идентификации страниц. Каждая строка — одна страница Сайта.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400"/>
        <w:gridCol w:w="5455"/>
        <w:gridCol w:w="800"/>
      </w:tblGrid>
      <w:tr>
        <w:trPr>
          <w:cantSplit/>
          <w:tblHeader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№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Шаблон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Страницы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Кол-во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01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Главная страница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Главная страница — https://chspu.ru/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02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Приёмная кампания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Поступление — https://chspu.ru/priemnaja-kampanija/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03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Рубрика верхнего уровня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Образование — https://chspu.ru/образование/</w:t>
            </w:r>
          </w:p>
          <w:p>
            <w:r>
              <w:rPr>
                <w:sz w:val="21"/>
                <w:szCs w:val="21"/>
              </w:rPr>
              <w:t xml:space="preserve">Наука — https://chspu.ru/наука/</w:t>
            </w:r>
          </w:p>
          <w:p>
            <w:r>
              <w:rPr>
                <w:sz w:val="21"/>
                <w:szCs w:val="21"/>
              </w:rPr>
              <w:t xml:space="preserve">О ЧГПУ — https://chspu.ru/о-чгпу/</w:t>
            </w:r>
          </w:p>
          <w:p>
            <w:r>
              <w:rPr>
                <w:sz w:val="21"/>
                <w:szCs w:val="21"/>
              </w:rPr>
              <w:t xml:space="preserve">Структура ЧГПУ — https://chspu.ru/структура-чгпу/</w:t>
            </w:r>
          </w:p>
          <w:p>
            <w:r>
              <w:rPr>
                <w:sz w:val="21"/>
                <w:szCs w:val="21"/>
              </w:rPr>
              <w:t xml:space="preserve">Международная деятельность — https://chspu.ru/международная-деятельность/</w:t>
            </w:r>
          </w:p>
          <w:p>
            <w:r>
              <w:rPr>
                <w:sz w:val="21"/>
                <w:szCs w:val="21"/>
              </w:rPr>
              <w:t xml:space="preserve">Подраздел раздела «Международная деятельность» — одна страница по выбору Заказчика (иные подразделы Заказчик вправе создать самостоятельно на шаблоне 03)</w:t>
            </w:r>
          </w:p>
          <w:p>
            <w:r>
              <w:rPr>
                <w:sz w:val="21"/>
                <w:szCs w:val="21"/>
              </w:rPr>
              <w:t xml:space="preserve">Студенту — https://chspu.ru/студенту/</w:t>
            </w:r>
          </w:p>
          <w:p>
            <w:r>
              <w:rPr>
                <w:sz w:val="21"/>
                <w:szCs w:val="21"/>
              </w:rPr>
              <w:t xml:space="preserve">Абитуриенту — https://chspu.ru/абитуриенту/</w:t>
            </w:r>
          </w:p>
          <w:p>
            <w:r>
              <w:rPr>
                <w:sz w:val="21"/>
                <w:szCs w:val="21"/>
              </w:rPr>
              <w:t xml:space="preserve">Выпускнику — https://chspu.ru/выпускнику/</w:t>
            </w:r>
          </w:p>
          <w:p>
            <w:r>
              <w:rPr>
                <w:sz w:val="21"/>
                <w:szCs w:val="21"/>
              </w:rPr>
              <w:t xml:space="preserve">Сотруднику — https://chspu.ru/сотруднику/</w:t>
            </w:r>
          </w:p>
          <w:p>
            <w:r>
              <w:rPr>
                <w:sz w:val="21"/>
                <w:szCs w:val="21"/>
              </w:rPr>
              <w:t xml:space="preserve">Электронная информационно-образовательная среда — https://chspu.ru/eios/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04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Институт / факультет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Факультеты и институты — https://chspu.ru/факультеты-и-институты/</w:t>
            </w:r>
          </w:p>
          <w:p>
            <w:r>
              <w:rPr>
                <w:sz w:val="21"/>
                <w:szCs w:val="21"/>
              </w:rPr>
              <w:t xml:space="preserve">Институт филологии, истории и права — https://chspu.ru/institut-filologii-istorii-i-prava-3/</w:t>
            </w:r>
          </w:p>
          <w:p>
            <w:r>
              <w:rPr>
                <w:sz w:val="21"/>
                <w:szCs w:val="21"/>
              </w:rPr>
              <w:t xml:space="preserve">Институт филологии, истории и права — https://chspu.ru/institut-filologii-istorii-i-prava-4/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05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Страница центра или подразделения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Управление стратегического планирования и проектной деятельности — https://chspu.ru/upravlenie-proektnoj-deyatelnosti/</w:t>
            </w:r>
          </w:p>
          <w:p>
            <w:r>
              <w:rPr>
                <w:sz w:val="21"/>
                <w:szCs w:val="21"/>
              </w:rPr>
              <w:t xml:space="preserve">Технопарк универсальных педагогических компетенций ЧГПУ — https://chspu.ru/technopark/</w:t>
            </w:r>
          </w:p>
          <w:p>
            <w:r>
              <w:rPr>
                <w:sz w:val="21"/>
                <w:szCs w:val="21"/>
              </w:rPr>
              <w:t xml:space="preserve">Центр продуктивного образования «Эковерситет» — https://chspu.ru/центр-продуктивного-образования-эк/</w:t>
            </w:r>
          </w:p>
          <w:p>
            <w:r>
              <w:rPr>
                <w:sz w:val="21"/>
                <w:szCs w:val="21"/>
              </w:rPr>
              <w:t xml:space="preserve">Педагогический технопарк «Кванториум» им. профессора Ш.М-Х. Арсалиева — https://chspu.ru/kvantorium/</w:t>
            </w:r>
          </w:p>
          <w:p>
            <w:r>
              <w:rPr>
                <w:sz w:val="21"/>
                <w:szCs w:val="21"/>
              </w:rPr>
              <w:t xml:space="preserve">Студенческий театр — https://chspu.ru/studencheskij-teatr/</w:t>
            </w:r>
          </w:p>
          <w:p>
            <w:r>
              <w:rPr>
                <w:sz w:val="21"/>
                <w:szCs w:val="21"/>
              </w:rPr>
              <w:t xml:space="preserve">Студенческий спортивный клуб — https://chspu.ru/sportivnyj-klub/</w:t>
            </w:r>
          </w:p>
          <w:p>
            <w:r>
              <w:rPr>
                <w:sz w:val="21"/>
                <w:szCs w:val="21"/>
              </w:rPr>
              <w:t xml:space="preserve">Общежитие (адрес в перечне Заказчика совпадает со страницей спортивного клуба; страница создаётся по материалам Заказчика)</w:t>
            </w:r>
          </w:p>
          <w:p>
            <w:r>
              <w:rPr>
                <w:sz w:val="21"/>
                <w:szCs w:val="21"/>
              </w:rPr>
              <w:t xml:space="preserve">Военно-патриотический центр «ВОИН-АХМАТ» — https://chspu.ru/military-patriotic-centr/</w:t>
            </w:r>
          </w:p>
          <w:p>
            <w:r>
              <w:rPr>
                <w:sz w:val="21"/>
                <w:szCs w:val="21"/>
              </w:rPr>
              <w:t xml:space="preserve">Педагогическая мастерская Алихана Динаева — https://chspu.ru/41213-2/</w:t>
            </w:r>
          </w:p>
          <w:p>
            <w:r>
              <w:rPr>
                <w:sz w:val="21"/>
                <w:szCs w:val="21"/>
              </w:rPr>
              <w:t xml:space="preserve">Научно-образовательный центр нахских исследований — https://chspu.ru/научно-образовательный-центр-нахски/</w:t>
            </w:r>
          </w:p>
          <w:p>
            <w:r>
              <w:rPr>
                <w:sz w:val="21"/>
                <w:szCs w:val="21"/>
              </w:rPr>
              <w:t xml:space="preserve">Сетевой консультационный центр комплексной помощи родителям «Родительский университет» — https://chspu.ru/центр-комплексной-поддержки-семей-с-д/</w:t>
            </w:r>
          </w:p>
          <w:p>
            <w:r>
              <w:rPr>
                <w:sz w:val="21"/>
                <w:szCs w:val="21"/>
              </w:rPr>
              <w:t xml:space="preserve">Центр обеспечения комплексной безопасности — https://chspu.ru/центр-обеспечения-комплексной-безоп/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06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Карточка образовательной программы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Направление образовательной программы — https://chspu.ru/44-03-01-pedagogicheskoe-obrazovanie-napravlennost-profil-chechenskij-jazyk-i-literatura/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07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Страница кафедры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Страница кафедры — https://chspu.ru/institut-filologii-istorii-i-prava-3/kafedra-istorii/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08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Страница персон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Руководство — https://chspu.ru/direction/</w:t>
            </w:r>
          </w:p>
          <w:p>
            <w:r>
              <w:rPr>
                <w:sz w:val="21"/>
                <w:szCs w:val="21"/>
              </w:rPr>
              <w:t xml:space="preserve">Ученый совет — https://chspu.ru/uchenyj-sovet/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09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Тематическая страница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Выборы ректора ЧГПУ — https://chspu.ru/vybory-rektora-2026/</w:t>
            </w:r>
          </w:p>
          <w:p>
            <w:r>
              <w:rPr>
                <w:sz w:val="21"/>
                <w:szCs w:val="21"/>
              </w:rPr>
              <w:t xml:space="preserve">Программа кадрового резерва — https://chspu.ru/70880-2/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Научная рубрика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Научно-образовательные центры и лаборатории — https://chspu.ru/nauchno-obrazovatelnye-centry-i-laboratorii/</w:t>
            </w:r>
          </w:p>
          <w:p>
            <w:r>
              <w:rPr>
                <w:sz w:val="21"/>
                <w:szCs w:val="21"/>
              </w:rPr>
              <w:t xml:space="preserve">Конкурсы и гранты — https://chspu.ru/contests-and-grants/</w:t>
            </w:r>
          </w:p>
          <w:p>
            <w:r>
              <w:rPr>
                <w:sz w:val="21"/>
                <w:szCs w:val="21"/>
              </w:rPr>
              <w:t xml:space="preserve">Публикационная деятельность — https://chspu.ru/publikatzionnaya-deyatelnost/</w:t>
            </w:r>
          </w:p>
          <w:p>
            <w:r>
              <w:rPr>
                <w:sz w:val="21"/>
                <w:szCs w:val="21"/>
              </w:rPr>
              <w:t xml:space="preserve">Научные школы и ведущие научные коллективы — https://chspu.ru/научные-школы-и-ведущие-научные-колле/</w:t>
            </w:r>
          </w:p>
          <w:p>
            <w:r>
              <w:rPr>
                <w:sz w:val="21"/>
                <w:szCs w:val="21"/>
              </w:rPr>
              <w:t xml:space="preserve">Международные проекты — https://chspu.ru/международные-проекты/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11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Лента новостей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Раздел «Все новости» — https://chspu.ru/category/news/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12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Пресс-служба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Пресс-служба — https://chspu.ru/press-sluzhba/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13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Документная страница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Противодействие коррупции — https://chspu.ru/protivodejstvie-korrupcii-2/</w:t>
            </w:r>
          </w:p>
          <w:p>
            <w:r>
              <w:rPr>
                <w:sz w:val="21"/>
                <w:szCs w:val="21"/>
              </w:rPr>
              <w:t xml:space="preserve">Противодействие терроризму и экстремизму — https://chspu.ru/противодействие-терроризму-и-экстре/</w:t>
            </w:r>
          </w:p>
          <w:p>
            <w:r>
              <w:rPr>
                <w:sz w:val="21"/>
                <w:szCs w:val="21"/>
              </w:rPr>
              <w:t xml:space="preserve">Охрана труда — https://chspu.ru/sotrudniku/ohrana-truda/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14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Страница для лиц с ОВЗ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Для лиц с ОВЗ — https://chspu.ru/ovz/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15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Программа развития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Программа развития ЧГПУ 2026–2030 — новая страница по прототипу Заказчика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Итого: 15 шаблонов</w:t>
            </w:r>
          </w:p>
        </w:tc>
        <w:tc>
          <w:tcPr>
            <w:tcW w:type="dxa" w:w="54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46</w:t>
            </w:r>
          </w:p>
        </w:tc>
      </w:tr>
    </w:tbl>
    <w:p>
      <w:pPr>
        <w:spacing w:after="60"/>
      </w:pPr>
    </w:p>
    <w:p>
      <w:pPr>
        <w:pageBreakBefore/>
        <w:jc w:val="right"/>
      </w:pPr>
      <w:r>
        <w:rPr>
          <w:b/>
          <w:bCs/>
        </w:rPr>
        <w:t xml:space="preserve">Приложение 2</w:t>
      </w:r>
    </w:p>
    <w:p>
      <w:pPr>
        <w:spacing w:after="200" w:before="120"/>
        <w:jc w:val="center"/>
      </w:pPr>
      <w:r>
        <w:rPr>
          <w:b/>
          <w:bCs/>
        </w:rPr>
        <w:t xml:space="preserve">Интерактивные модули страницы приёмной кампании (исчерпывающий перечень)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400"/>
        <w:gridCol w:w="5255"/>
      </w:tblGrid>
      <w:tr>
        <w:trPr>
          <w:cantSplit/>
          <w:tblHeader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№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Модуль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Функциональность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Таймер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Обратный отсчёт до даты, заданной в административной панели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Обращение ректора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Фотография, текст обращения, встроенное видео (ссылка на видеохостинг)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Счётчики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До 6 показателей с анимацией при появлении на экране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Причины выбрать ЧГПУ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До 8 карточек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Стипендии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До 8 карточек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Шаги поступления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Раскрывающийся список, до 8 шагов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7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Институты и программы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Раскрывающийся список институтов и факультетов (до 10) с перечнем их программ из каталога (п. 6.7)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Льготы и квоты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Всплывающее окно с текстом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Платное обучение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Текстовый блок с перечнем этапов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Колледж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Сроки приёма и список программ среднего профессионального образования (до 20)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11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Калькулятор баллов ЕГЭ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Выбор 3 предметов и ввод баллов; расчёт суммы и её сравнение с двумя пороговыми значениями (бюджет, платная основа), задаваемыми Заказчиком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12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Чек-лист абитуриента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До 12 пунктов с отметками; сохранение отметок в браузере пользователя; индикатор прогресса; сброс отметок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13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Календарь приёмной кампании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Список событий (до 30) с фильтром по уровню образования (до 4 значений)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14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Отзывы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Карусель, до 10 отзывов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15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Партнёры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Блок логотипов, до 20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16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Вопросы и ответы</w:t>
            </w:r>
          </w:p>
        </w:tc>
        <w:tc>
          <w:tcPr>
            <w:tcW w:type="dxa" w:w="5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Раскрывающийся список (до 30 вопросов) с поиском по тексту вопросов</w:t>
            </w:r>
          </w:p>
        </w:tc>
      </w:tr>
    </w:tbl>
    <w:p>
      <w:pPr>
        <w:spacing w:after="60"/>
      </w:pPr>
    </w:p>
    <w:p>
      <w:pPr>
        <w:spacing w:after="100"/>
        <w:jc w:val="both"/>
      </w:pPr>
      <w:r>
        <w:t xml:space="preserve">Блок контактов страницы содержит карту (Яндекс Карты или эквивалент, встраивание штатным кодом сервиса).</w:t>
      </w:r>
    </w:p>
    <w:p>
      <w:pPr>
        <w:pageBreakBefore/>
        <w:jc w:val="right"/>
      </w:pPr>
      <w:r>
        <w:rPr>
          <w:b/>
          <w:bCs/>
        </w:rPr>
        <w:t xml:space="preserve">Приложение 3</w:t>
      </w:r>
    </w:p>
    <w:p>
      <w:pPr>
        <w:spacing w:after="200" w:before="120"/>
        <w:jc w:val="center"/>
      </w:pPr>
      <w:r>
        <w:rPr>
          <w:b/>
          <w:bCs/>
        </w:rPr>
        <w:t xml:space="preserve">Классификация ошибок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855"/>
        <w:gridCol w:w="2300"/>
      </w:tblGrid>
      <w:tr>
        <w:trPr>
          <w:cantSplit/>
          <w:tblHeader/>
        </w:trP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Категория</w:t>
            </w:r>
          </w:p>
        </w:tc>
        <w:tc>
          <w:tcPr>
            <w:tcW w:type="dxa" w:w="48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Определение</w:t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Порядок устранения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Блокирующая</w:t>
            </w:r>
          </w:p>
        </w:tc>
        <w:tc>
          <w:tcPr>
            <w:tcW w:type="dxa" w:w="48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Основная функция шаблона или модуля, предусмотренная ТЗ, недоступна, обходного пути нет</w:t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До приёмки этапа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Критическая</w:t>
            </w:r>
          </w:p>
        </w:tc>
        <w:tc>
          <w:tcPr>
            <w:tcW w:type="dxa" w:w="48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Функция, предусмотренная ТЗ, работает с результатом, противоречащим ТЗ, либо на одной из трёх контрольных ширин экрана в браузере из перечня п. 6.13 элементы шаблона перекрываются, обрезаются или недоступны для использования</w:t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До приёмки этапа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Незначительная</w:t>
            </w:r>
          </w:p>
        </w:tc>
        <w:tc>
          <w:tcPr>
            <w:tcW w:type="dxa" w:w="48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Иные отклонения, не препятствующие использованию функции (оформление, тексты интерфейса, отклонения от макета, не приводящие к перекрытию или обрезке элементов), в том числе отклонения отображения на ширинах экрана, отличных от контрольных</w:t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1"/>
                <w:szCs w:val="21"/>
              </w:rPr>
              <w:t xml:space="preserve">Не препятствует приёмке; устраняется в течение гарантийного срока</w:t>
            </w:r>
          </w:p>
        </w:tc>
      </w:tr>
    </w:tbl>
    <w:p>
      <w:pPr>
        <w:spacing w:after="60"/>
      </w:pPr>
    </w:p>
    <w:sectPr>
      <w:footerReference w:type="default" r:id="rId6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Times New Roman" w:cs="Times New Roman" w:eastAsia="Times New Roman" w:hAnsi="Times New Roman"/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2026-10-02T14:05:53.478Z</dcterms:created>
  <dcterms:modified xsi:type="dcterms:W3CDTF">2026-10-02T14:05:53.493Z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